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png" ContentType="image/png"/>
  <Override PartName="/word/media/rId41.png" ContentType="image/png"/>
  <Override PartName="/word/media/rId45.png" ContentType="image/png"/>
  <Override PartName="/word/media/rId60.png" ContentType="image/png"/>
  <Override PartName="/word/media/rId38.png" ContentType="image/png"/>
  <Override PartName="/word/media/rId63.png" ContentType="image/png"/>
  <Override PartName="/word/media/rId54.png" ContentType="image/png"/>
  <Override PartName="/word/media/rId61.png" ContentType="image/png"/>
  <Override PartName="/word/media/rId52.png" ContentType="image/png"/>
  <Override PartName="/word/media/rId64.png" ContentType="image/png"/>
  <Override PartName="/word/media/rId62.png" ContentType="image/png"/>
  <Override PartName="/word/media/rId49.png" ContentType="image/png"/>
  <Override PartName="/word/media/rId46.png" ContentType="image/png"/>
  <Override PartName="/word/media/rId56.png" ContentType="image/png"/>
  <Override PartName="/word/media/rId55.png" ContentType="image/png"/>
  <Override PartName="/word/media/rId58.png" ContentType="image/png"/>
  <Override PartName="/word/media/rId47.png" ContentType="image/png"/>
  <Override PartName="/word/media/rId48.png" ContentType="image/png"/>
  <Override PartName="/word/media/rId51.png" ContentType="image/pn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12</w:t>
      </w:r>
      <w:r>
        <w:t xml:space="preserve"> </w:t>
      </w:r>
      <w:r>
        <w:t xml:space="preserve">October,</w:t>
      </w:r>
      <w:r>
        <w:t xml:space="preserve"> </w:t>
      </w:r>
      <w:r>
        <w:t xml:space="preserve">2020</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the</w:t>
      </w:r>
      <w:r>
        <w:t xml:space="preserve"> </w:t>
      </w:r>
      <w:r>
        <w:t xml:space="preserve">Fortetsa</w:t>
      </w:r>
      <w:r>
        <w:t xml:space="preserve"> </w:t>
      </w:r>
      <w:r>
        <w:t xml:space="preserve">and</w:t>
      </w:r>
      <w:r>
        <w:t xml:space="preserve"> </w:t>
      </w:r>
      <w:r>
        <w:t xml:space="preserve">Knossos</w:t>
      </w:r>
      <w:r>
        <w:t xml:space="preserve"> </w:t>
      </w:r>
      <w:r>
        <w:t xml:space="preserve">North</w:t>
      </w:r>
      <w:r>
        <w:t xml:space="preserve"> </w:t>
      </w:r>
      <w:r>
        <w:t xml:space="preserve">cemeteries,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w:t>
      </w:r>
      <w:r>
        <w:t xml:space="preserve"> </w:t>
      </w:r>
      <w:r>
        <w:t xml:space="preserve">classes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the</w:t>
      </w:r>
      <w:r>
        <w:t xml:space="preserve"> </w:t>
      </w:r>
      <w:r>
        <w:t xml:space="preserve">application</w:t>
      </w:r>
      <w:r>
        <w:t xml:space="preserve"> </w:t>
      </w:r>
      <w:r>
        <w:t xml:space="preserve">of</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goes</w:t>
      </w:r>
      <w:r>
        <w:t xml:space="preserve"> </w:t>
      </w:r>
      <w:r>
        <w:t xml:space="preserve">on</w:t>
      </w:r>
      <w:r>
        <w:t xml:space="preserve"> </w:t>
      </w:r>
      <w:r>
        <w:t xml:space="preserve">to</w:t>
      </w:r>
      <w:r>
        <w:t xml:space="preserve"> </w:t>
      </w:r>
      <w:r>
        <w:t xml:space="preserve">consider</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Early Iron Age Knossos</w:t>
      </w:r>
    </w:p>
    <w:p>
      <w:pPr>
        <w:pStyle w:val="Heading2"/>
      </w:pPr>
      <w:bookmarkStart w:id="26" w:name="settlement-evidence-a-meagre-filling-in-a-very-thick-sandwich"/>
      <w:bookmarkEnd w:id="26"/>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The Early Iron Age Cemeteries</w:t>
      </w:r>
    </w:p>
    <w:p>
      <w:pPr>
        <w:pStyle w:val="FigureWithCaption"/>
      </w:pPr>
      <w:r>
        <w:drawing>
          <wp:inline>
            <wp:extent cx="5943600" cy="8407522"/>
            <wp:effectExtent b="0" l="0" r="0" t="0"/>
            <wp:docPr descr="Figure 1: goes around here" title="" id="1" name="Picture"/>
            <a:graphic>
              <a:graphicData uri="http://schemas.openxmlformats.org/drawingml/2006/picture">
                <pic:pic>
                  <pic:nvPicPr>
                    <pic:cNvPr descr="../figures/Knossos%20Tombs%20Map.jpg" id="0" name="Picture"/>
                    <pic:cNvPicPr>
                      <a:picLocks noChangeArrowheads="1" noChangeAspect="1"/>
                    </pic:cNvPicPr>
                  </pic:nvPicPr>
                  <pic:blipFill>
                    <a:blip r:embed="rId28"/>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w:t>
      </w:r>
      <w:r>
        <w:t xml:space="preserve"> </w:t>
      </w:r>
      <w:r>
        <w:t xml:space="preserve">Kotsonas (2006)</w:t>
      </w:r>
      <w:r>
        <w:t xml:space="preserve">; Hutchinson and Boardman, 1954)</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Methods</w:t>
      </w:r>
    </w:p>
    <w:p>
      <w:pPr>
        <w:pStyle w:val="Heading2"/>
      </w:pPr>
      <w:bookmarkStart w:id="34" w:name="databases"/>
      <w:bookmarkEnd w:id="34"/>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2</w:t>
      </w:r>
      <w:r>
        <w:t xml:space="preserve">). Here, the mean of these three estimates was taken, to provide a single aggregate measure for the purposes of analysis.</w:t>
      </w:r>
    </w:p>
    <w:p>
      <w:pPr>
        <w:pStyle w:val="FigureWithCaption"/>
      </w:pPr>
      <w:r>
        <w:drawing>
          <wp:inline>
            <wp:extent cx="5943600" cy="3396342"/>
            <wp:effectExtent b="0" l="0" r="0" t="0"/>
            <wp:docPr descr="Figure 2: goes around here"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9" w:name="aoristic-approaches-to-dating"/>
      <w:bookmarkEnd w:id="39"/>
      <w:r>
        <w:t xml:space="preserve">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3396342"/>
            <wp:effectExtent b="0" l="0" r="0" t="0"/>
            <wp:docPr descr="Figure 3: goes around here" title="" id="1" name="Picture"/>
            <a:graphic>
              <a:graphicData uri="http://schemas.openxmlformats.org/drawingml/2006/picture">
                <pic:pic>
                  <pic:nvPicPr>
                    <pic:cNvPr descr="../figures/allpithoi-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FigureWithCaption"/>
      </w:pPr>
      <w:r>
        <w:drawing>
          <wp:inline>
            <wp:extent cx="5943600" cy="3396342"/>
            <wp:effectExtent b="0" l="0" r="0" t="0"/>
            <wp:docPr descr="Figure 4: goes around here" title="" id="1" name="Picture"/>
            <a:graphic>
              <a:graphicData uri="http://schemas.openxmlformats.org/drawingml/2006/picture">
                <pic:pic>
                  <pic:nvPicPr>
                    <pic:cNvPr descr="../figures/aoristallcem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2" w:name="analysis"/>
      <w:bookmarkEnd w:id="42"/>
      <w:r>
        <w:t xml:space="preserve">Analysis</w:t>
      </w:r>
    </w:p>
    <w:p>
      <w:pPr>
        <w:pStyle w:val="Heading2"/>
      </w:pPr>
      <w:bookmarkStart w:id="43" w:name="introduction-1"/>
      <w:bookmarkEnd w:id="43"/>
      <w:r>
        <w:t xml:space="preserve">Introduction</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4" w:name="temporal-developments-in-the-knossian-cemeteries"/>
      <w:bookmarkEnd w:id="44"/>
      <w:r>
        <w:t xml:space="preserve">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971800"/>
            <wp:effectExtent b="0" l="0" r="0" t="0"/>
            <wp:docPr descr="Figure 5: goesaround here." title="" id="1" name="Picture"/>
            <a:graphic>
              <a:graphicData uri="http://schemas.openxmlformats.org/drawingml/2006/picture">
                <pic:pic>
                  <pic:nvPicPr>
                    <pic:cNvPr descr="../figures/aoristbycem-1.png" id="0" name="Picture"/>
                    <pic:cNvPicPr>
                      <a:picLocks noChangeArrowheads="1" noChangeAspect="1"/>
                    </pic:cNvPicPr>
                  </pic:nvPicPr>
                  <pic:blipFill>
                    <a:blip r:embed="rId4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goesaround here.</w:t>
      </w:r>
    </w:p>
    <w:p>
      <w:pPr>
        <w:pStyle w:val="BodyText"/>
      </w:pPr>
      <w:r>
        <w:t xml:space="preserve">And, despite differences in scale and timing, it is immediately apparent from Figure</w:t>
      </w:r>
      <w:r>
        <w:t xml:space="preserve"> </w:t>
      </w:r>
      <w:r>
        <w:t xml:space="preserve">5</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6: goes around here"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Figure</w:t>
      </w:r>
      <w:r>
        <w:t xml:space="preserve"> </w:t>
      </w:r>
      <w:r>
        <w:t xml:space="preserve">6</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These countervalent trends are observable too in the number of tombs receiving depositions in each period (Figure</w:t>
      </w:r>
      <w:r>
        <w:t xml:space="preserve"> </w:t>
      </w:r>
      <w:r>
        <w:t xml:space="preserve">7</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8: goes around here"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But the net increase in active tombs in the 8th century belies a more complex pattern (Figure</w:t>
      </w:r>
      <w:r>
        <w:t xml:space="preserve"> </w:t>
      </w:r>
      <w:r>
        <w:t xml:space="preserve">8</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5943600" cy="3396342"/>
            <wp:effectExtent b="0" l="0" r="0" t="0"/>
            <wp:docPr descr="Figure 9: goes around here"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However, we see from Figure</w:t>
      </w:r>
      <w:r>
        <w:t xml:space="preserve"> </w:t>
      </w:r>
      <w:r>
        <w:t xml:space="preserve">9</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8</w:t>
      </w:r>
      <w:r>
        <w:t xml:space="preserve">, they were, at this time, declining in number.</w:t>
      </w:r>
    </w:p>
    <w:p>
      <w:pPr>
        <w:pStyle w:val="BodyText"/>
      </w:pPr>
      <w:r>
        <w:rPr>
          <w:i/>
        </w:rPr>
        <w:t xml:space="preserve">Table 1 goes around here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50" w:name="isolating-the-phenomenon"/>
      <w:bookmarkEnd w:id="50"/>
      <w:r>
        <w:t xml:space="preserve">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10: goes around here" title="" id="1" name="Picture"/>
            <a:graphic>
              <a:graphicData uri="http://schemas.openxmlformats.org/drawingml/2006/picture">
                <pic:pic>
                  <pic:nvPicPr>
                    <pic:cNvPr descr="../figures/toptombs-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4245428"/>
            <wp:effectExtent b="0" l="0" r="0" t="0"/>
            <wp:docPr descr="Figure 11: goes around here" title="" id="1" name="Picture"/>
            <a:graphic>
              <a:graphicData uri="http://schemas.openxmlformats.org/drawingml/2006/picture">
                <pic:pic>
                  <pic:nvPicPr>
                    <pic:cNvPr descr="../figures/groupsab-1.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11</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3" w:name="not-all-tombs-are-created-equal"/>
      <w:bookmarkEnd w:id="53"/>
      <w:r>
        <w:t xml:space="preserve">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4754880"/>
            <wp:effectExtent b="0" l="0" r="0" t="0"/>
            <wp:docPr descr="Figure 12: goes around here"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In Figure</w:t>
      </w:r>
      <w:r>
        <w:t xml:space="preserve"> </w:t>
      </w:r>
      <w:r>
        <w:t xml:space="preserve">12</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5943600" cy="3396342"/>
            <wp:effectExtent b="0" l="0" r="0" t="0"/>
            <wp:docPr descr="Figure 13: goes around here" title="" id="1" name="Picture"/>
            <a:graphic>
              <a:graphicData uri="http://schemas.openxmlformats.org/drawingml/2006/picture">
                <pic:pic>
                  <pic:nvPicPr>
                    <pic:cNvPr descr="../figures/tombgroupdimensions-1.pn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4: goes around here"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What we can say is that no clear relationship existed between the dimensions of a tomb and its eventual buried population (see Figure</w:t>
      </w:r>
      <w:r>
        <w:t xml:space="preserve"> </w:t>
      </w:r>
      <w:r>
        <w:t xml:space="preserve">14</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7" w:name="imports-interments-and-indices-of-wealth"/>
      <w:bookmarkEnd w:id="57"/>
      <w:r>
        <w:t xml:space="preserve">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5: goes around here"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goes around here</w:t>
      </w:r>
    </w:p>
    <w:p>
      <w:pPr>
        <w:pStyle w:val="BodyText"/>
      </w:pPr>
      <w:r>
        <w:t xml:space="preserve">And in Figure</w:t>
      </w:r>
      <w:r>
        <w:t xml:space="preserve"> </w:t>
      </w:r>
      <w:r>
        <w:t xml:space="preserve">15</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8</w:t>
      </w:r>
      <w:r>
        <w:t xml:space="preserve">. What might account for this disparity? And if the patterns implied in Figure</w:t>
      </w:r>
      <w:r>
        <w:t xml:space="preserve"> </w:t>
      </w:r>
      <w:r>
        <w:t xml:space="preserve">15</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9" w:name="a-tale-of-two-periods"/>
      <w:bookmarkEnd w:id="59"/>
      <w:r>
        <w:t xml:space="preserve">A Tale of Two Periods</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bigbox-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Figure</w:t>
      </w:r>
      <w:r>
        <w:t xml:space="preserve"> </w:t>
      </w:r>
      <w:r>
        <w:t xml:space="preserve">16</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gini-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This characterisation is supported further by considering the Gini coefficient for the distribution of pottery between the tombs (see Figure</w:t>
      </w:r>
      <w:r>
        <w:t xml:space="preserve"> </w:t>
      </w:r>
      <w:r>
        <w:t xml:space="preserve">17</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imports-1.pn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The rise in imported items is readily observable, with a succession of Greek and Near Eastern imports in the late 9th and early 8th centuries (Figure</w:t>
      </w:r>
      <w:r>
        <w:t xml:space="preserve"> </w:t>
      </w:r>
      <w:r>
        <w:t xml:space="preserve">18</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9: goes around here" title="" id="1" name="Picture"/>
            <a:graphic>
              <a:graphicData uri="http://schemas.openxmlformats.org/drawingml/2006/picture">
                <pic:pic>
                  <pic:nvPicPr>
                    <pic:cNvPr descr="../figures/comps-1.png" id="0"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This is reflected further in the changing composition of the mortuary assemblage through time (Figure</w:t>
      </w:r>
      <w:r>
        <w:t xml:space="preserve"> </w:t>
      </w:r>
      <w:r>
        <w:t xml:space="preserve">19</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20: goes around here" title="" id="1" name="Picture"/>
            <a:graphic>
              <a:graphicData uri="http://schemas.openxmlformats.org/drawingml/2006/picture">
                <pic:pic>
                  <pic:nvPicPr>
                    <pic:cNvPr descr="../figures/hists-1.png" id="0" name="Picture"/>
                    <pic:cNvPicPr>
                      <a:picLocks noChangeArrowheads="1" noChangeAspect="1"/>
                    </pic:cNvPicPr>
                  </pic:nvPicPr>
                  <pic:blipFill>
                    <a:blip r:embed="rId6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20: goes around here</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20</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5" w:name="discussion"/>
      <w:bookmarkEnd w:id="65"/>
      <w:r>
        <w:t xml:space="preserve">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C. M. Scarry, et al., 2011; Haggis, Mook, Fitzsimons, M. C. Scarry, et al., 2011)</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6" w:name="conclusion"/>
      <w:bookmarkEnd w:id="66"/>
      <w:r>
        <w:t xml:space="preserve">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7" w:name="pagebreak-1"/>
      <w:bookmarkEnd w:id="67"/>
      <w:r>
        <w:t xml:space="preserve">pagebreak</w:t>
      </w:r>
    </w:p>
    <w:p>
      <w:pPr>
        <w:pStyle w:val="Heading1"/>
      </w:pPr>
      <w:bookmarkStart w:id="68" w:name="acknowledgements"/>
      <w:bookmarkEnd w:id="68"/>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I am indebted most of all to Professor Todd Whitelaw, for his unstinting guidance, feedback and facilitation of my ongoing research.</w:t>
      </w:r>
    </w:p>
    <w:p>
      <w:pPr>
        <w:pStyle w:val="Heading1"/>
      </w:pPr>
      <w:bookmarkStart w:id="69" w:name="about-the-author"/>
      <w:bookmarkEnd w:id="69"/>
      <w:r>
        <w:t xml:space="preserve">About the Author</w:t>
      </w:r>
    </w:p>
    <w:p>
      <w:pPr>
        <w:pStyle w:val="FirstParagraph"/>
      </w:pPr>
      <w:r>
        <w:t xml:space="preserve">Dominic Pollard is a PhD candidate at University College London. His research focusses on the Early Iron Age of Crete, with particular interest in the use of computational methods to supplement traditional modes of archaeological inference.</w:t>
      </w:r>
    </w:p>
    <w:p>
      <w:pPr>
        <w:pStyle w:val="Heading5"/>
      </w:pPr>
      <w:bookmarkStart w:id="70" w:name="pagebreak-2"/>
      <w:bookmarkEnd w:id="70"/>
      <w:r>
        <w:t xml:space="preserve">pagebreak</w:t>
      </w:r>
    </w:p>
    <w:p>
      <w:pPr>
        <w:pStyle w:val="Heading1"/>
      </w:pPr>
      <w:bookmarkStart w:id="71" w:name="references"/>
      <w:bookmarkEnd w:id="71"/>
      <w:r>
        <w:t xml:space="preserve">References</w:t>
      </w:r>
    </w:p>
    <w:p>
      <w:pPr>
        <w:pStyle w:val="FirstParagraph"/>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p>
    <w:p>
      <w:pPr>
        <w:pStyle w:val="BodyText"/>
      </w:pPr>
      <w:r>
        <w:t xml:space="preserve">Cavanagh, W., 1996. The Burial Customs, in: Coldstream, J., Catling, H.W. (Eds.), Knossos North Cemetery: Early Greek Tombs. The British School at Athens Supplement 28. Vol.II, London, pp. 651–675.</w:t>
      </w:r>
    </w:p>
    <w:p>
      <w:pPr>
        <w:pStyle w:val="BodyText"/>
      </w:pPr>
      <w:r>
        <w:t xml:space="preserve">Coldstream, J., 2006. Knossos in Early Greek Times, in: Deger-Jalkotzy, S., Lemos, I.S. (Eds.), Ancient Greece: From the Mycenaean Palaces to the Age of Homer. Edinburgh University Press, Edinburgh, pp. 581–596.</w:t>
      </w:r>
    </w:p>
    <w:p>
      <w:pPr>
        <w:pStyle w:val="BodyText"/>
      </w:pPr>
      <w:r>
        <w:t xml:space="preserve">Coldstream, J., 2000. Evans’ Greek Finds: The Early Greek Town of Knossos, and its Encroachment on the Borders of the Minoan Palace. The Annual of the British School at Athens 95, 260–299.</w:t>
      </w:r>
    </w:p>
    <w:p>
      <w:pPr>
        <w:pStyle w:val="BodyText"/>
      </w:pPr>
      <w:r>
        <w:t xml:space="preserve">Coldstream, J.,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 1984a. Dorian Knossos and Aristotle’s Villages, in: Glotz, C.G. (Ed.), Aux Origines de L’Hellénisme: La Crète et La Grèce. Hommage à Henri van Effenterre. Université de Paris-I, Paris, pp. 311–322.</w:t>
      </w:r>
    </w:p>
    <w:p>
      <w:pPr>
        <w:pStyle w:val="BodyText"/>
      </w:pPr>
      <w:r>
        <w:t xml:space="preserve">Coldstream, J., 1984b. A Protogeometric Nature Goddess from Knossos. Bulletin of the Institute of Classical Studies 31, 93–104.</w:t>
      </w:r>
    </w:p>
    <w:p>
      <w:pPr>
        <w:pStyle w:val="BodyText"/>
      </w:pPr>
      <w:r>
        <w:t xml:space="preserve">Coldstream, J., Huxley, G., 1996. Fortetsa 1967 Tombs, in: Coldstream, J., Catling, H.W. (Eds.), Knossos North Cemetery: Early Greek Tombs. The British School at Athens Supplement 28. Vol.I, London, p. 284.</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 Knossos North Cemetery: Early Greek Tombs. The British School at Athens Supplement 28. Vol.I-IV, London.</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 Brice L. Erickson., Hesperia (princeton, n.J.). supplement ;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C.M., Snyder, L.M., West, W.C., 2011. Excavations in the Archaic Civic Buildings at Azoria in 2005-2006. The Journal of the American School of Classical Studies at Athens 80, 1–70.</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t xml:space="preserve">Έ</w:t>
      </w:r>
      <m:oMath>
        <m:r>
          <m:t>ν</m:t>
        </m:r>
      </m:oMath>
      <m:oMath>
        <m:r>
          <m:t>α</m:t>
        </m:r>
      </m:oMath>
      <w:r>
        <w:t xml:space="preserve"> </w:t>
      </w:r>
      <m:oMath>
        <m:r>
          <m:t>τ</m:t>
        </m:r>
      </m:oMath>
      <w:r>
        <w:t xml:space="preserve">ο</w:t>
      </w:r>
      <m:oMath>
        <m:r>
          <m:t>υ</m:t>
        </m:r>
      </m:oMath>
      <w:r>
        <w:t xml:space="preserve"> </w:t>
      </w:r>
      <w:r>
        <w:t xml:space="preserve">11ο</w:t>
      </w:r>
      <m:oMath>
        <m:r>
          <m:t>υ</m:t>
        </m:r>
      </m:oMath>
      <w:r>
        <w:t xml:space="preserve"> </w:t>
      </w:r>
      <m:oMath>
        <m:r>
          <m:t>Δ</m:t>
        </m:r>
      </m:oMath>
      <m:oMath>
        <m:r>
          <m:t>ι</m:t>
        </m:r>
      </m:oMath>
      <m:oMath>
        <m:r>
          <m:t>ϵ</m:t>
        </m:r>
      </m:oMath>
      <m:oMath>
        <m:r>
          <m:t>θ</m:t>
        </m:r>
      </m:oMath>
      <w:r>
        <w:t xml:space="preserve">ούς κ</w:t>
      </w:r>
      <m:oMath>
        <m:r>
          <m:t>ρ</m:t>
        </m:r>
      </m:oMath>
      <m:oMath>
        <m:r>
          <m:t>η</m:t>
        </m:r>
      </m:oMath>
      <m:oMath>
        <m:r>
          <m:t>τ</m:t>
        </m:r>
      </m:oMath>
      <w:r>
        <w:t xml:space="preserve">ο</w:t>
      </w:r>
      <m:oMath>
        <m:r>
          <m:t>λ</m:t>
        </m:r>
      </m:oMath>
      <w:r>
        <w:t xml:space="preserve">ο</w:t>
      </w:r>
      <m:oMath>
        <m:r>
          <m:t>γ</m:t>
        </m:r>
      </m:oMath>
      <m:oMath>
        <m:r>
          <m:t>ι</m:t>
        </m:r>
      </m:oMath>
      <m:oMath>
        <m:r>
          <m:t>κ</m:t>
        </m:r>
      </m:oMath>
      <w:r>
        <w:t xml:space="preserve">ού</w:t>
      </w:r>
      <w:r>
        <w:t xml:space="preserve"> </w:t>
      </w:r>
      <m:oMath>
        <m:r>
          <m:t>Σ</m:t>
        </m:r>
      </m:oMath>
      <m:oMath>
        <m:r>
          <m:t>υ</m:t>
        </m:r>
      </m:oMath>
      <m:oMath>
        <m:r>
          <m:t>ν</m:t>
        </m:r>
      </m:oMath>
      <m:oMath>
        <m:r>
          <m:t>ϵ</m:t>
        </m:r>
      </m:oMath>
      <m:oMath>
        <m:r>
          <m:t>ρ</m:t>
        </m:r>
      </m:oMath>
      <m:oMath>
        <m:r>
          <m:t>δ</m:t>
        </m:r>
      </m:oMath>
      <w:r>
        <w:t xml:space="preserve">ίο</w:t>
      </w:r>
      <m:oMath>
        <m:r>
          <m:t>υ</m:t>
        </m:r>
      </m:oMath>
      <w:r>
        <w:t xml:space="preserve">, ρέ</w:t>
      </w:r>
      <m:oMath>
        <m:r>
          <m:t>θ</m:t>
        </m:r>
      </m:oMath>
      <m:oMath>
        <m:r>
          <m:t>υ</m:t>
        </m:r>
      </m:oMath>
      <m:oMath>
        <m:r>
          <m:t>μ</m:t>
        </m:r>
      </m:oMath>
      <m:oMath>
        <m:r>
          <m:t>ν</m:t>
        </m:r>
      </m:oMath>
      <w:r>
        <w:t xml:space="preserve">ο, 21-27 ο</w:t>
      </w:r>
      <m:oMath>
        <m:r>
          <m:t>κ</m:t>
        </m:r>
      </m:oMath>
      <m:oMath>
        <m:r>
          <m:t>τ</m:t>
        </m:r>
      </m:oMath>
      <m:oMath>
        <m:r>
          <m:t>ω</m:t>
        </m:r>
      </m:oMath>
      <m:oMath>
        <m:r>
          <m:t>β</m:t>
        </m:r>
      </m:oMath>
      <m:oMath>
        <m:r>
          <m:t>ρ</m:t>
        </m:r>
      </m:oMath>
      <w:r>
        <w:t xml:space="preserve">ίο</w:t>
      </w:r>
      <m:oMath>
        <m:r>
          <m:t>υ</m:t>
        </m:r>
      </m:oMath>
      <w:r>
        <w:t xml:space="preserve"> </w:t>
      </w:r>
      <w:r>
        <w:t xml:space="preserve">2011. Ρέ</w:t>
      </w:r>
      <m:oMath>
        <m:r>
          <m:t>θ</m:t>
        </m:r>
      </m:oMath>
      <m:oMath>
        <m:r>
          <m:t>υ</m:t>
        </m:r>
      </m:oMath>
      <m:oMath>
        <m:r>
          <m:t>μ</m:t>
        </m:r>
      </m:oMath>
      <m:oMath>
        <m:r>
          <m:t>ν</m:t>
        </m:r>
      </m:oMath>
      <w:r>
        <w:t xml:space="preserve">ο.</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72">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3">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 Catling, H.W.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4">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Α</w:t>
      </w:r>
      <m:oMath>
        <m:r>
          <m:t>λ</m:t>
        </m:r>
      </m:oMath>
      <m:oMath>
        <m:r>
          <m:t>ϵ</m:t>
        </m:r>
      </m:oMath>
      <m:oMath>
        <m:r>
          <m:t>ξ</m:t>
        </m:r>
      </m:oMath>
      <w:r>
        <w:t xml:space="preserve">ίο</w:t>
      </w:r>
      <m:oMath>
        <m:r>
          <m:t>υ</m:t>
        </m:r>
      </m:oMath>
      <w:r>
        <w:t xml:space="preserve">, \., 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 Κ</w:t>
      </w:r>
      <m:oMath>
        <m:r>
          <m:t>ρ</m:t>
        </m:r>
      </m:oMath>
      <m:oMath>
        <m:r>
          <m:t>η</m:t>
        </m:r>
      </m:oMath>
      <m:oMath>
        <m:r>
          <m:t>τ</m:t>
        </m:r>
      </m:oMath>
      <m:oMath>
        <m:r>
          <m:t>ι</m:t>
        </m:r>
      </m:oMath>
      <m:oMath>
        <m:r>
          <m:t>κ</m:t>
        </m:r>
      </m:oMath>
      <w:r>
        <w:t xml:space="preserve">ά Χ</w:t>
      </w:r>
      <m:oMath>
        <m:r>
          <m:t>ρ</m:t>
        </m:r>
      </m:oMath>
      <w:r>
        <w:t xml:space="preserve">ο</w:t>
      </w:r>
      <m:oMath>
        <m:r>
          <m:t>ν</m:t>
        </m:r>
      </m:oMath>
      <m:oMath>
        <m:r>
          <m:t>ι</m:t>
        </m:r>
      </m:oMath>
      <m:oMath>
        <m:r>
          <m:t>κ</m:t>
        </m:r>
      </m:oMath>
      <w:r>
        <w:t xml:space="preserve">ά 4, 294–318.</w:t>
      </w:r>
    </w:p>
    <w:p>
      <w:pPr>
        <w:pStyle w:val="Heading5"/>
      </w:pPr>
      <w:bookmarkStart w:id="75" w:name="pagebreak-3"/>
      <w:bookmarkEnd w:id="75"/>
      <w:r>
        <w:t xml:space="preserve">pagebreak</w:t>
      </w:r>
    </w:p>
    <w:p>
      <w:pPr>
        <w:pStyle w:val="Heading1"/>
      </w:pPr>
      <w:bookmarkStart w:id="76" w:name="captions"/>
      <w:bookmarkEnd w:id="76"/>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counts are based on the ceramic phase considered most likely to correspond to the tomb’s first use (including simply</w:t>
      </w:r>
      <w:r>
        <w:rPr>
          <w:i/>
        </w:rPr>
        <w:t xml:space="preserve"> </w:t>
      </w:r>
      <w:r>
        <w:rPr>
          <w:i/>
        </w:rPr>
        <w:t xml:space="preserve">‘</w:t>
      </w:r>
      <w:r>
        <w:rPr>
          <w:i/>
        </w:rPr>
        <w:t xml:space="preserve">PG</w:t>
      </w:r>
      <w:r>
        <w:rPr>
          <w:i/>
        </w:rPr>
        <w:t xml:space="preserve">’</w:t>
      </w:r>
      <w:r>
        <w:rPr>
          <w:i/>
        </w:rPr>
        <w:t xml:space="preserve">,</w:t>
      </w:r>
      <w:r>
        <w:rPr>
          <w:i/>
        </w:rPr>
        <w:t xml:space="preserve"> </w:t>
      </w:r>
      <w:r>
        <w:rPr>
          <w:i/>
        </w:rPr>
        <w:t xml:space="preserve">‘</w:t>
      </w:r>
      <w:r>
        <w:rPr>
          <w:i/>
        </w:rPr>
        <w:t xml:space="preserve">G</w:t>
      </w:r>
      <w:r>
        <w:rPr>
          <w:i/>
        </w:rPr>
        <w:t xml:space="preserve">’</w:t>
      </w:r>
      <w:r>
        <w:rPr>
          <w:i/>
        </w:rPr>
        <w:t xml:space="preserve"> </w:t>
      </w:r>
      <w:r>
        <w:rPr>
          <w:i/>
        </w:rPr>
        <w:t xml:space="preserve">and</w:t>
      </w:r>
      <w:r>
        <w:rPr>
          <w:i/>
        </w:rPr>
        <w:t xml:space="preserve"> </w:t>
      </w:r>
      <w:r>
        <w:rPr>
          <w:i/>
        </w:rPr>
        <w:t xml:space="preserve">‘</w:t>
      </w:r>
      <w:r>
        <w:rPr>
          <w:i/>
        </w:rPr>
        <w:t xml:space="preserve">O</w:t>
      </w:r>
      <w:r>
        <w:rPr>
          <w:i/>
        </w:rPr>
        <w:t xml:space="preserve">’</w:t>
      </w:r>
      <w:r>
        <w:rPr>
          <w:i/>
        </w:rPr>
        <w:t xml:space="preserve"> </w:t>
      </w:r>
      <w:r>
        <w:rPr>
          <w:i/>
        </w:rPr>
        <w:t xml:space="preserve">where no greater specificity was possible). On the right, aoristic sums are presented, spreading the uncertainty associated with those general assignations. In both cases, tombs lacking any securely dateable pottery are excluded.</w:t>
      </w:r>
      <w:r>
        <w:t xml:space="preserve"> </w:t>
      </w:r>
      <w:r>
        <w:rPr>
          <w:i/>
        </w:rPr>
        <w:t xml:space="preserve">Abbreviations</w:t>
      </w:r>
      <w:r>
        <w:t xml:space="preserve"> </w:t>
      </w:r>
      <w:r>
        <w:rPr>
          <w:i/>
        </w:rPr>
        <w:t xml:space="preserve">SM - Subminoan; (E/M/L)PG - (Early/Middle/Late) Protogeometric; PGB - Protogeometric B; (E/M/L)G - (Early/Middle/Late) Geometric; (E/L)O - (Early/Late) Orientalising</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Aoristic sums for the Group A and Group B tombs, as defined above.</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 comparing the dimensions of</w:t>
      </w:r>
      <w:r>
        <w:t xml:space="preserve"> </w:t>
      </w:r>
      <w:r>
        <w:t xml:space="preserve">dromos</w:t>
      </w:r>
      <w:r>
        <w:t xml:space="preserve"> </w:t>
      </w:r>
      <w:r>
        <w:rPr>
          <w:i/>
        </w:rPr>
        <w:t xml:space="preserve">length and chamber area. Groups A and B, defined earlier, are illustrated and labelled in green and orange respectively, while all remaining tombs (</w:t>
      </w:r>
      <w:r>
        <w:rPr>
          <w:i/>
        </w:rPr>
        <w:t xml:space="preserve">‘</w:t>
      </w:r>
      <w:r>
        <w:rPr>
          <w:i/>
        </w:rPr>
        <w:t xml:space="preserve">Group C</w:t>
      </w:r>
      <w:r>
        <w:rPr>
          <w:i/>
        </w:rPr>
        <w:t xml:space="preserve">’</w:t>
      </w:r>
      <w:r>
        <w:rPr>
          <w:i/>
        </w:rPr>
        <w:t xml:space="preserve">) are in blue.</w:t>
      </w:r>
    </w:p>
    <w:p>
      <w:pPr>
        <w:pStyle w:val="BodyText"/>
      </w:pPr>
      <w:r>
        <w:rPr>
          <w:i/>
        </w:rPr>
        <w:t xml:space="preserve">Figure 13 Scatterplots comparing tomb dimensions (chamber area and</w:t>
      </w:r>
      <w:r>
        <w:t xml:space="preserve"> </w:t>
      </w:r>
      <w:r>
        <w:t xml:space="preserve">dromos</w:t>
      </w:r>
      <w:r>
        <w:t xml:space="preserve"> </w:t>
      </w:r>
      <w:r>
        <w:rPr>
          <w:i/>
        </w:rPr>
        <w:t xml:space="preserve">length) to the estimated total number of burials by tomb. The points area colour-coded as per Figure 12.</w:t>
      </w:r>
    </w:p>
    <w:p>
      <w:pPr>
        <w:pStyle w:val="BodyText"/>
      </w:pPr>
      <w:r>
        <w:rPr>
          <w:i/>
        </w:rPr>
        <w:t xml:space="preserve">Figure 14 Counts of vessels dating to the 9th, 8th and 7th centuries respectively, found in tombs built in the 10th or 9th century which yielded upwards of 50 vessels when excavated. The tombs are colour-coded as per Figure 12.</w:t>
      </w:r>
    </w:p>
    <w:p>
      <w:pPr>
        <w:pStyle w:val="BodyText"/>
      </w:pPr>
      <w:r>
        <w:rPr>
          <w:i/>
        </w:rPr>
        <w:t xml:space="preserve">Figure 15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16 Gini coefficient values through time based on the aoristic sums for all vessels across both cemeteries. Background colours correspond to ceramic periods.</w:t>
      </w:r>
    </w:p>
    <w:p>
      <w:pPr>
        <w:pStyle w:val="BodyText"/>
      </w:pPr>
      <w:r>
        <w:rPr>
          <w:i/>
        </w:rPr>
        <w:t xml:space="preserve">Figure 17 Aoristic sums of imported and</w:t>
      </w:r>
      <w:r>
        <w:rPr>
          <w:i/>
        </w:rPr>
        <w:t xml:space="preserve"> </w:t>
      </w:r>
      <w:r>
        <w:rPr>
          <w:i/>
        </w:rPr>
        <w:t xml:space="preserve">‘</w:t>
      </w:r>
      <w:r>
        <w:rPr>
          <w:i/>
        </w:rPr>
        <w:t xml:space="preserve">oriental</w:t>
      </w:r>
      <w:r>
        <w:rPr>
          <w:i/>
        </w:rPr>
        <w:t xml:space="preserve">’</w:t>
      </w:r>
      <w:r>
        <w:rPr>
          <w:i/>
        </w:rPr>
        <w:t xml:space="preserve"> </w:t>
      </w:r>
      <w:r>
        <w:rPr>
          <w:i/>
        </w:rPr>
        <w:t xml:space="preserve">imitation vessels through time across both cemeteries, colour-coded by regional origin in the case of imports.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7" w:name="pagebreak-4"/>
      <w:bookmarkEnd w:id="77"/>
      <w:r>
        <w:t xml:space="preserve">pagebreak</w:t>
      </w:r>
    </w:p>
    <w:p>
      <w:pPr>
        <w:pStyle w:val="Heading1"/>
      </w:pPr>
      <w:bookmarkStart w:id="78" w:name="figures"/>
      <w:bookmarkEnd w:id="78"/>
      <w:r>
        <w:t xml:space="preserve">Figures</w:t>
      </w:r>
    </w:p>
    <w:p>
      <w:pPr>
        <w:pStyle w:val="Heading5"/>
      </w:pPr>
      <w:bookmarkStart w:id="79" w:name="pagebreak-5"/>
      <w:bookmarkEnd w:id="79"/>
      <w:r>
        <w:t xml:space="preserve">pagebreak</w:t>
      </w:r>
    </w:p>
    <w:p>
      <w:pPr>
        <w:pStyle w:val="Heading1"/>
      </w:pPr>
      <w:bookmarkStart w:id="80" w:name="tables"/>
      <w:bookmarkEnd w:id="80"/>
      <w:r>
        <w:t xml:space="preserve">Tables</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Heading5"/>
      </w:pPr>
      <w:bookmarkStart w:id="81" w:name="pagebreak-6"/>
      <w:bookmarkEnd w:id="81"/>
      <w:r>
        <w:t xml:space="preserve">pagebreak</w:t>
      </w:r>
    </w:p>
    <w:p>
      <w:pPr>
        <w:pStyle w:val="Heading3"/>
      </w:pPr>
      <w:bookmarkStart w:id="82" w:name="colophon"/>
      <w:bookmarkEnd w:id="82"/>
      <w:r>
        <w:t xml:space="preserve">Colophon</w:t>
      </w:r>
    </w:p>
    <w:p>
      <w:pPr>
        <w:pStyle w:val="FirstParagraph"/>
      </w:pPr>
      <w:r>
        <w:t xml:space="preserve">This report was generated on 2020-10-12 11:10:06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2020-10-12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highr          0.8     2019-03-20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0.3.3   2019-10-18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Rttf2pt1       1.3.8   2020-01-10 [1] CRAN (R 3.5.3)</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2.1.2   2018-03-15 [1] CRAN (R 3.5.2)</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[6cfd9d9] 2020-10-09: Edited Readme</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f7ff5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72" Target="https://doi.org/10.1007/s10816-015-9272-9" TargetMode="External" /><Relationship Type="http://schemas.openxmlformats.org/officeDocument/2006/relationships/hyperlink" Id="rId73" Target="https://doi.org/10.1017/aap.2018.3" TargetMode="External" /><Relationship Type="http://schemas.openxmlformats.org/officeDocument/2006/relationships/hyperlink" Id="rId74"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2" Target="https://doi.org/10.1007/s10816-015-9272-9" TargetMode="External" /><Relationship Type="http://schemas.openxmlformats.org/officeDocument/2006/relationships/hyperlink" Id="rId73" Target="https://doi.org/10.1017/aap.2018.3" TargetMode="External" /><Relationship Type="http://schemas.openxmlformats.org/officeDocument/2006/relationships/hyperlink" Id="rId74"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31-34 Gordon Square, Bloomsbury, London WC1H 0PY, United Kingdom; dominic.pollard.16@ucl.ac.uk</dc:creator>
  <dcterms:created xsi:type="dcterms:W3CDTF">2020-10-12T10:10:17Z</dcterms:created>
  <dcterms:modified xsi:type="dcterms:W3CDTF">2020-10-12T10:10:17Z</dcterms:modified>
</cp:coreProperties>
</file>